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BA55B72" w14:textId="77777777" w:rsidR="009F1F68" w:rsidRDefault="00103442">
      <w:pPr>
        <w:spacing w:after="40"/>
        <w:jc w:val="center"/>
      </w:pPr>
      <w:r>
        <w:rPr>
          <w:b/>
          <w:bCs/>
          <w:color w:val="1F4E79"/>
          <w:sz w:val="30"/>
          <w:szCs w:val="30"/>
        </w:rPr>
        <w:t>AVANCE DEL NUEVO PROCESO DE LA ESTRATEGIA DE COLEGIOS EN ADMINISTRACIÓN DEL SERVICIO EDUCATIVO (CASE)</w:t>
      </w:r>
    </w:p>
    <w:p w14:paraId="31B1E18F" w14:textId="77777777" w:rsidR="009F1F68" w:rsidRDefault="00103442">
      <w:pPr>
        <w:spacing w:after="60"/>
        <w:jc w:val="center"/>
      </w:pPr>
      <w:r>
        <w:rPr>
          <w:b/>
          <w:bCs/>
          <w:color w:val="595959"/>
          <w:sz w:val="24"/>
          <w:szCs w:val="24"/>
        </w:rPr>
        <w:t>Resumen Ejecutivo</w:t>
      </w:r>
    </w:p>
    <w:p w14:paraId="1026E6D2" w14:textId="77777777" w:rsidR="009F1F68" w:rsidRDefault="00103442">
      <w:pPr>
        <w:spacing w:after="260"/>
        <w:jc w:val="center"/>
      </w:pPr>
      <w:r>
        <w:rPr>
          <w:i/>
          <w:iCs/>
          <w:color w:val="595959"/>
          <w:sz w:val="20"/>
          <w:szCs w:val="20"/>
        </w:rPr>
        <w:t>Estado a 18 de junio de 2026</w:t>
      </w:r>
    </w:p>
    <w:p w14:paraId="3F71BEC9" w14:textId="77777777" w:rsidR="009F1F68" w:rsidRDefault="00103442">
      <w:pPr>
        <w:pStyle w:val="Heading1"/>
        <w:shd w:val="clear" w:color="auto" w:fill="1F4E79"/>
        <w:spacing w:before="280"/>
      </w:pPr>
      <w:r>
        <w:t>1. Resumen Ejecutivo</w:t>
      </w:r>
    </w:p>
    <w:p w14:paraId="09B0FD37" w14:textId="31FA2B36" w:rsidR="009F1F68" w:rsidRDefault="00103442">
      <w:pPr>
        <w:spacing w:after="160" w:line="276" w:lineRule="auto"/>
        <w:jc w:val="both"/>
      </w:pPr>
      <w:r>
        <w:t xml:space="preserve">El proceso de la Estrategia de Colegios en Administración del Servicio Educativo (CASE) avanza en su etapa de estructuración presupuestal, tras haber superado la revisión integral del anexo técnico con la validación de los equipos financiero y jurídico. El acompañamiento de la Oficina </w:t>
      </w:r>
      <w:r w:rsidR="0049412D">
        <w:t xml:space="preserve">de Apoyo </w:t>
      </w:r>
      <w:r>
        <w:t xml:space="preserve"> de P</w:t>
      </w:r>
      <w:r w:rsidR="0049412D">
        <w:t>recontractual</w:t>
      </w:r>
      <w:r>
        <w:t xml:space="preserve"> (OAPRE) se ha enfocado en construir, de manera conjunta e iterativa, el modelo de costos del proceso, mediante mesas de trabajo sucesivas que han permitido depurar cotizaciones, validar cantidades, ajustar formulaciones y definir la metodología para el valor del cupo. En la mesa de trabajo más reciente, realizada el 17 de junio de 2026 con la participación de Diego Sánchez (asesor del Despacho), se concluyó que el modelo se encuentra próximo al resultado esperado, quedando pendiente una última verificación</w:t>
      </w:r>
      <w:r>
        <w:t xml:space="preserve"> por parte de la OAPRE y la definición de la metodología para el valor de los lotes.</w:t>
      </w:r>
    </w:p>
    <w:p w14:paraId="65EED270" w14:textId="77777777" w:rsidR="009F1F68" w:rsidRDefault="00103442">
      <w:pPr>
        <w:pStyle w:val="Heading1"/>
        <w:shd w:val="clear" w:color="auto" w:fill="1F4E79"/>
        <w:spacing w:before="280"/>
      </w:pPr>
      <w:r>
        <w:t>2. Antecedentes y Desarrollo del Acompañamiento</w:t>
      </w:r>
    </w:p>
    <w:p w14:paraId="160BFA04" w14:textId="5DC3793E" w:rsidR="009F1F68" w:rsidRDefault="00103442">
      <w:pPr>
        <w:spacing w:after="160" w:line="276" w:lineRule="auto"/>
        <w:jc w:val="both"/>
      </w:pPr>
      <w:r>
        <w:t xml:space="preserve">Una vez culminada la revisión del anexo técnico, la OAPRE concentró su acompañamiento en la estructuración del presupuesto del proceso, a través de mesas de trabajo periódicas con el equipo financiero responsable. Dado el alcance del ejercicio, las revisiones se han dado por etapas y entregas parciales, configurando un trabajo de construcción conjunta </w:t>
      </w:r>
      <w:r>
        <w:t>y no una simple revisión documental</w:t>
      </w:r>
      <w:r w:rsidR="009961C6">
        <w:t xml:space="preserve"> </w:t>
      </w:r>
      <w:r>
        <w:t>centrado en:</w:t>
      </w:r>
    </w:p>
    <w:p w14:paraId="6483316F" w14:textId="77777777" w:rsidR="009F1F68" w:rsidRDefault="00103442">
      <w:pPr>
        <w:pStyle w:val="ListParagraph"/>
        <w:numPr>
          <w:ilvl w:val="0"/>
          <w:numId w:val="2"/>
        </w:numPr>
        <w:spacing w:after="80"/>
      </w:pPr>
      <w:r>
        <w:t>Ajuste de metodologías para el análisis y depuración de cotizaciones.</w:t>
      </w:r>
    </w:p>
    <w:p w14:paraId="180C6231" w14:textId="77777777" w:rsidR="009F1F68" w:rsidRDefault="00103442">
      <w:pPr>
        <w:pStyle w:val="ListParagraph"/>
        <w:numPr>
          <w:ilvl w:val="0"/>
          <w:numId w:val="2"/>
        </w:numPr>
        <w:spacing w:after="80"/>
      </w:pPr>
      <w:r>
        <w:t>Validación de cantidades y unidades de medida.</w:t>
      </w:r>
    </w:p>
    <w:p w14:paraId="2E1FB6BC" w14:textId="77777777" w:rsidR="009F1F68" w:rsidRDefault="00103442">
      <w:pPr>
        <w:pStyle w:val="ListParagraph"/>
        <w:numPr>
          <w:ilvl w:val="0"/>
          <w:numId w:val="2"/>
        </w:numPr>
        <w:spacing w:after="80"/>
      </w:pPr>
      <w:r>
        <w:t>Corrección de formulaciones del modelo de costos.</w:t>
      </w:r>
    </w:p>
    <w:p w14:paraId="11B22856" w14:textId="77777777" w:rsidR="009F1F68" w:rsidRDefault="00103442">
      <w:pPr>
        <w:pStyle w:val="ListParagraph"/>
        <w:numPr>
          <w:ilvl w:val="0"/>
          <w:numId w:val="2"/>
        </w:numPr>
        <w:spacing w:after="80"/>
      </w:pPr>
      <w:r>
        <w:t>Definición de criterios para la estimación presupuestal.</w:t>
      </w:r>
    </w:p>
    <w:p w14:paraId="7AC21D24" w14:textId="77777777" w:rsidR="009F1F68" w:rsidRDefault="00103442">
      <w:pPr>
        <w:pStyle w:val="ListParagraph"/>
        <w:numPr>
          <w:ilvl w:val="0"/>
          <w:numId w:val="2"/>
        </w:numPr>
        <w:spacing w:after="80"/>
      </w:pPr>
      <w:r>
        <w:t>Revisión de fuentes de indexación y actualización de valores.</w:t>
      </w:r>
    </w:p>
    <w:p w14:paraId="03E4ED3C" w14:textId="77777777" w:rsidR="009F1F68" w:rsidRDefault="00103442">
      <w:pPr>
        <w:pStyle w:val="ListParagraph"/>
        <w:numPr>
          <w:ilvl w:val="0"/>
          <w:numId w:val="2"/>
        </w:numPr>
        <w:spacing w:after="80"/>
      </w:pPr>
      <w:r>
        <w:t>Consolidación de la metodología para el valor del cupo.</w:t>
      </w:r>
    </w:p>
    <w:p w14:paraId="006DD3B8" w14:textId="77777777" w:rsidR="009F1F68" w:rsidRDefault="00103442">
      <w:pPr>
        <w:pStyle w:val="Heading1"/>
        <w:shd w:val="clear" w:color="auto" w:fill="1F4E79"/>
        <w:spacing w:before="280"/>
      </w:pPr>
      <w:r>
        <w:t>3. Estado Actual del Proceso</w:t>
      </w:r>
    </w:p>
    <w:p w14:paraId="105FE0CF" w14:textId="77777777" w:rsidR="009F1F68" w:rsidRDefault="00103442">
      <w:pPr>
        <w:spacing w:after="160" w:line="276" w:lineRule="auto"/>
        <w:jc w:val="both"/>
      </w:pPr>
      <w:r>
        <w:t>La particularidad de este proceso radica en que la OAPRE no se limitó a revisar un ejercicio ya estructurado, sino que participó activamente en su construcción, revisando sucesivas versiones del modelo de costos hasta lograr un documento más robusto y consistente.</w:t>
      </w:r>
    </w:p>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6600"/>
      </w:tblGrid>
      <w:tr w:rsidR="009F1F68" w14:paraId="66FBD886" w14:textId="77777777">
        <w:tblPrEx>
          <w:tblCellMar>
            <w:top w:w="0" w:type="dxa"/>
            <w:bottom w:w="0" w:type="dxa"/>
          </w:tblCellMar>
        </w:tblPrEx>
        <w:trPr>
          <w:tblHeader/>
        </w:trPr>
        <w:tc>
          <w:tcPr>
            <w:tcW w:w="2400" w:type="dxa"/>
            <w:tcBorders>
              <w:top w:val="single" w:sz="4" w:space="0" w:color="BFBFBF"/>
              <w:left w:val="single" w:sz="4" w:space="0" w:color="BFBFBF"/>
              <w:bottom w:val="single" w:sz="4" w:space="0" w:color="BFBFBF"/>
              <w:right w:val="single" w:sz="4" w:space="0" w:color="BFBFBF"/>
            </w:tcBorders>
            <w:shd w:val="clear" w:color="auto" w:fill="1F4E79"/>
            <w:tcMar>
              <w:top w:w="80" w:type="dxa"/>
              <w:left w:w="120" w:type="dxa"/>
              <w:bottom w:w="80" w:type="dxa"/>
              <w:right w:w="120" w:type="dxa"/>
            </w:tcMar>
            <w:vAlign w:val="center"/>
          </w:tcPr>
          <w:p w14:paraId="49402A0F" w14:textId="77777777" w:rsidR="009F1F68" w:rsidRDefault="00103442">
            <w:r>
              <w:rPr>
                <w:b/>
                <w:bCs/>
                <w:color w:val="FFFFFF"/>
              </w:rPr>
              <w:t>Aspecto</w:t>
            </w:r>
          </w:p>
        </w:tc>
        <w:tc>
          <w:tcPr>
            <w:tcW w:w="6600" w:type="dxa"/>
            <w:tcBorders>
              <w:top w:val="single" w:sz="4" w:space="0" w:color="BFBFBF"/>
              <w:left w:val="single" w:sz="4" w:space="0" w:color="BFBFBF"/>
              <w:bottom w:val="single" w:sz="4" w:space="0" w:color="BFBFBF"/>
              <w:right w:val="single" w:sz="4" w:space="0" w:color="BFBFBF"/>
            </w:tcBorders>
            <w:shd w:val="clear" w:color="auto" w:fill="1F4E79"/>
            <w:tcMar>
              <w:top w:w="80" w:type="dxa"/>
              <w:left w:w="120" w:type="dxa"/>
              <w:bottom w:w="80" w:type="dxa"/>
              <w:right w:w="120" w:type="dxa"/>
            </w:tcMar>
            <w:vAlign w:val="center"/>
          </w:tcPr>
          <w:p w14:paraId="3D9A6405" w14:textId="77777777" w:rsidR="009F1F68" w:rsidRDefault="00103442">
            <w:r>
              <w:rPr>
                <w:b/>
                <w:bCs/>
                <w:color w:val="FFFFFF"/>
              </w:rPr>
              <w:t>Detalle</w:t>
            </w:r>
          </w:p>
        </w:tc>
      </w:tr>
      <w:tr w:rsidR="009F1F68" w14:paraId="4A2BC6B3"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DCE6F1"/>
            <w:tcMar>
              <w:top w:w="80" w:type="dxa"/>
              <w:left w:w="120" w:type="dxa"/>
              <w:bottom w:w="80" w:type="dxa"/>
              <w:right w:w="120" w:type="dxa"/>
            </w:tcMar>
          </w:tcPr>
          <w:p w14:paraId="66AE7C2C" w14:textId="77777777" w:rsidR="009F1F68" w:rsidRDefault="00103442">
            <w:r>
              <w:rPr>
                <w:b/>
                <w:bCs/>
              </w:rPr>
              <w:t>Última mesa de trabajo</w:t>
            </w:r>
          </w:p>
        </w:tc>
        <w:tc>
          <w:tcPr>
            <w:tcW w:w="6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4EDE889D" w14:textId="77777777" w:rsidR="009F1F68" w:rsidRDefault="00103442">
            <w:r>
              <w:t>17 de junio de 2026, con la participación de Diego Sánchez, asesor del Despacho.</w:t>
            </w:r>
          </w:p>
        </w:tc>
      </w:tr>
      <w:tr w:rsidR="009F1F68" w14:paraId="2EF21219"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DCE6F1"/>
            <w:tcMar>
              <w:top w:w="80" w:type="dxa"/>
              <w:left w:w="120" w:type="dxa"/>
              <w:bottom w:w="80" w:type="dxa"/>
              <w:right w:w="120" w:type="dxa"/>
            </w:tcMar>
          </w:tcPr>
          <w:p w14:paraId="0C72AECD" w14:textId="77777777" w:rsidR="009F1F68" w:rsidRDefault="00103442">
            <w:r>
              <w:rPr>
                <w:b/>
                <w:bCs/>
              </w:rPr>
              <w:t>Resultado</w:t>
            </w:r>
          </w:p>
        </w:tc>
        <w:tc>
          <w:tcPr>
            <w:tcW w:w="6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26A8A5EC" w14:textId="77777777" w:rsidR="009F1F68" w:rsidRDefault="00103442">
            <w:r>
              <w:t>El modelo de costos se encuentra próximo al resultado esperado.</w:t>
            </w:r>
          </w:p>
        </w:tc>
      </w:tr>
      <w:tr w:rsidR="009F1F68" w14:paraId="6855E1A4"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DCE6F1"/>
            <w:tcMar>
              <w:top w:w="80" w:type="dxa"/>
              <w:left w:w="120" w:type="dxa"/>
              <w:bottom w:w="80" w:type="dxa"/>
              <w:right w:w="120" w:type="dxa"/>
            </w:tcMar>
          </w:tcPr>
          <w:p w14:paraId="17AD07E0" w14:textId="77777777" w:rsidR="009F1F68" w:rsidRDefault="00103442">
            <w:r>
              <w:rPr>
                <w:b/>
                <w:bCs/>
              </w:rPr>
              <w:t>Próximo paso</w:t>
            </w:r>
          </w:p>
        </w:tc>
        <w:tc>
          <w:tcPr>
            <w:tcW w:w="6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6413D817" w14:textId="77777777" w:rsidR="009F1F68" w:rsidRDefault="00103442">
            <w:r>
              <w:t>Última revisión de la OAPRE para verificar la incorporación de los ajustes acordados.</w:t>
            </w:r>
          </w:p>
        </w:tc>
      </w:tr>
      <w:tr w:rsidR="009F1F68" w14:paraId="7E7E4043" w14:textId="77777777">
        <w:tblPrEx>
          <w:tblCellMar>
            <w:top w:w="0" w:type="dxa"/>
            <w:bottom w:w="0" w:type="dxa"/>
          </w:tblCellMar>
        </w:tblPrEx>
        <w:tc>
          <w:tcPr>
            <w:tcW w:w="2400" w:type="dxa"/>
            <w:tcBorders>
              <w:top w:val="single" w:sz="4" w:space="0" w:color="BFBFBF"/>
              <w:left w:val="single" w:sz="4" w:space="0" w:color="BFBFBF"/>
              <w:bottom w:val="single" w:sz="4" w:space="0" w:color="BFBFBF"/>
              <w:right w:val="single" w:sz="4" w:space="0" w:color="BFBFBF"/>
            </w:tcBorders>
            <w:shd w:val="clear" w:color="auto" w:fill="DCE6F1"/>
            <w:tcMar>
              <w:top w:w="80" w:type="dxa"/>
              <w:left w:w="120" w:type="dxa"/>
              <w:bottom w:w="80" w:type="dxa"/>
              <w:right w:w="120" w:type="dxa"/>
            </w:tcMar>
          </w:tcPr>
          <w:p w14:paraId="41BE3103" w14:textId="77777777" w:rsidR="009F1F68" w:rsidRDefault="00103442">
            <w:r>
              <w:rPr>
                <w:b/>
                <w:bCs/>
              </w:rPr>
              <w:t>Alcance de la revisión</w:t>
            </w:r>
          </w:p>
        </w:tc>
        <w:tc>
          <w:tcPr>
            <w:tcW w:w="6600" w:type="dxa"/>
            <w:tcBorders>
              <w:top w:val="single" w:sz="4" w:space="0" w:color="BFBFBF"/>
              <w:left w:val="single" w:sz="4" w:space="0" w:color="BFBFBF"/>
              <w:bottom w:val="single" w:sz="4" w:space="0" w:color="BFBFBF"/>
              <w:right w:val="single" w:sz="4" w:space="0" w:color="BFBFBF"/>
            </w:tcBorders>
            <w:tcMar>
              <w:top w:w="80" w:type="dxa"/>
              <w:left w:w="120" w:type="dxa"/>
              <w:bottom w:w="80" w:type="dxa"/>
              <w:right w:w="120" w:type="dxa"/>
            </w:tcMar>
          </w:tcPr>
          <w:p w14:paraId="386B112A" w14:textId="6B4AA549" w:rsidR="009F1F68" w:rsidRDefault="00103442">
            <w:r>
              <w:t>No constituye aprobación del presupuesto</w:t>
            </w:r>
            <w:r w:rsidR="000D13A1">
              <w:t xml:space="preserve"> ya que no es la competencia, en esta instancia,</w:t>
            </w:r>
            <w:r>
              <w:t>; busca mitigar errores y soportar la solicitud de vigencias futura</w:t>
            </w:r>
            <w:r w:rsidR="000D13A1">
              <w:t xml:space="preserve">s por parte del área </w:t>
            </w:r>
          </w:p>
        </w:tc>
      </w:tr>
    </w:tbl>
    <w:p w14:paraId="4C743988" w14:textId="77777777" w:rsidR="009F1F68" w:rsidRDefault="009F1F68">
      <w:pPr>
        <w:spacing w:after="160"/>
      </w:pPr>
    </w:p>
    <w:p w14:paraId="21D00587" w14:textId="77777777" w:rsidR="009F1F68" w:rsidRDefault="00103442">
      <w:pPr>
        <w:pStyle w:val="Heading1"/>
        <w:shd w:val="clear" w:color="auto" w:fill="1F4E79"/>
        <w:spacing w:before="280"/>
      </w:pPr>
      <w:r>
        <w:t>4. Aspectos Pendientes</w:t>
      </w:r>
    </w:p>
    <w:p w14:paraId="4470CDD4" w14:textId="77777777" w:rsidR="009F1F68" w:rsidRDefault="00103442">
      <w:pPr>
        <w:spacing w:after="160" w:line="276" w:lineRule="auto"/>
        <w:jc w:val="both"/>
      </w:pPr>
      <w:r>
        <w:t>De la revisión del 17 de junio de 2026 surgió la necesidad de definir el valor de los lotes, componente que aún no está claramente reflejado en la estructura presupuestal consolidada. Una vez se cuente con el valor estimado por cupo, se realizará una revisión conjunta con el área responsable para establecer la metodología de cálculo del valor estimado de cada lote por vigencia, insumo determinante para definir requisitos de experiencia, garantías e indicadores financieros del proceso.</w:t>
      </w:r>
    </w:p>
    <w:p w14:paraId="36952A4A" w14:textId="77777777" w:rsidR="009F1F68" w:rsidRDefault="00103442">
      <w:pPr>
        <w:pStyle w:val="Heading1"/>
        <w:shd w:val="clear" w:color="auto" w:fill="1F4E79"/>
        <w:spacing w:before="280"/>
      </w:pPr>
      <w:r>
        <w:t>5. Conclusión</w:t>
      </w:r>
    </w:p>
    <w:p w14:paraId="073531D6" w14:textId="77777777" w:rsidR="00B5234B" w:rsidRDefault="00103442">
      <w:pPr>
        <w:spacing w:after="160" w:line="276" w:lineRule="auto"/>
        <w:jc w:val="both"/>
      </w:pPr>
      <w:r>
        <w:t xml:space="preserve">El proceso CASE presenta avances significativos en la consolidación de su estructura presupuestal, </w:t>
      </w:r>
      <w:r>
        <w:t>gracias a un ejercicio colaborativo entre el área responsable y la OAPRE caracterizado por revisiones sucesivas y ajustes técnicos.</w:t>
      </w:r>
    </w:p>
    <w:p w14:paraId="2F36145E" w14:textId="77777777" w:rsidR="005B1757" w:rsidRDefault="005B1757">
      <w:pPr>
        <w:spacing w:after="160" w:line="276" w:lineRule="auto"/>
        <w:jc w:val="both"/>
      </w:pPr>
      <w:r>
        <w:t>El área avanzado en el proceso de solicitud de vigencias futuras.</w:t>
      </w:r>
    </w:p>
    <w:p w14:paraId="13841E6B" w14:textId="4195E9C5" w:rsidR="009F1F68" w:rsidRDefault="00103442">
      <w:pPr>
        <w:spacing w:after="160" w:line="276" w:lineRule="auto"/>
        <w:jc w:val="both"/>
      </w:pPr>
      <w:r>
        <w:t xml:space="preserve"> La etapa actual corresponde a la validación final de los ajustes acordados, con miras a consolidar una versión técnicamente estructurada que soporte las actuaciones posteriores del área responsable.</w:t>
      </w:r>
    </w:p>
    <w:sectPr w:rsidR="009F1F68">
      <w:headerReference w:type="default" r:id="rId7"/>
      <w:footerReference w:type="default" r:id="rId8"/>
      <w:pgSz w:w="12240" w:h="15840"/>
      <w:pgMar w:top="1080" w:right="1260" w:bottom="1080" w:left="126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6612C37" w14:textId="77777777" w:rsidR="00103442" w:rsidRDefault="00103442">
      <w:r>
        <w:separator/>
      </w:r>
    </w:p>
  </w:endnote>
  <w:endnote w:type="continuationSeparator" w:id="0">
    <w:p w14:paraId="07E1A723" w14:textId="77777777" w:rsidR="00103442" w:rsidRDefault="00103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00000003" w:usb1="00000000" w:usb2="00000000" w:usb3="00000000" w:csb0="00000001" w:csb1="00000000"/>
  </w:font>
  <w:font w:name="Aptos Display">
    <w:panose1 w:val="020B0004020202020204"/>
    <w:charset w:val="00"/>
    <w:family w:val="roman"/>
    <w:notTrueType/>
    <w:pitch w:val="default"/>
  </w:font>
  <w:font w:name="Aptos">
    <w:panose1 w:val="020B00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DB66362" w14:textId="77777777" w:rsidR="009F1F68" w:rsidRDefault="00103442">
    <w:pPr>
      <w:jc w:val="center"/>
    </w:pPr>
    <w:r>
      <w:rPr>
        <w:color w:val="595959"/>
        <w:sz w:val="16"/>
        <w:szCs w:val="16"/>
      </w:rPr>
      <w:t xml:space="preserve">Página </w:t>
    </w:r>
    <w:r>
      <w:rPr>
        <w:color w:val="595959"/>
        <w:sz w:val="16"/>
        <w:szCs w:val="16"/>
      </w:rPr>
      <w:fldChar w:fldCharType="begin"/>
    </w:r>
    <w:r>
      <w:rPr>
        <w:color w:val="595959"/>
        <w:sz w:val="16"/>
        <w:szCs w:val="16"/>
      </w:rPr>
      <w:instrText>PAGE</w:instrText>
    </w:r>
    <w:r>
      <w:rPr>
        <w:color w:val="595959"/>
        <w:sz w:val="16"/>
        <w:szCs w:val="16"/>
      </w:rPr>
      <w:fldChar w:fldCharType="separate"/>
    </w:r>
    <w:r>
      <w:rPr>
        <w:color w:val="595959"/>
        <w:sz w:val="16"/>
        <w:szCs w:val="16"/>
      </w:rPr>
      <w:fldChar w:fldCharType="end"/>
    </w:r>
    <w:r>
      <w:rPr>
        <w:color w:val="595959"/>
        <w:sz w:val="16"/>
        <w:szCs w:val="16"/>
      </w:rPr>
      <w:t xml:space="preserve"> de </w:t>
    </w:r>
    <w:r>
      <w:rPr>
        <w:color w:val="595959"/>
        <w:sz w:val="16"/>
        <w:szCs w:val="16"/>
      </w:rPr>
      <w:fldChar w:fldCharType="begin"/>
    </w:r>
    <w:r>
      <w:rPr>
        <w:color w:val="595959"/>
        <w:sz w:val="16"/>
        <w:szCs w:val="16"/>
      </w:rPr>
      <w:instrText>NUMPAGES</w:instrText>
    </w:r>
    <w:r>
      <w:rPr>
        <w:color w:val="595959"/>
        <w:sz w:val="16"/>
        <w:szCs w:val="16"/>
      </w:rPr>
      <w:fldChar w:fldCharType="separate"/>
    </w:r>
    <w:r>
      <w:rPr>
        <w:color w:val="59595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A8FDCC1" w14:textId="77777777" w:rsidR="00103442" w:rsidRDefault="00103442">
      <w:r>
        <w:separator/>
      </w:r>
    </w:p>
  </w:footnote>
  <w:footnote w:type="continuationSeparator" w:id="0">
    <w:p w14:paraId="470629CF" w14:textId="77777777" w:rsidR="00103442" w:rsidRDefault="00103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F97E1C" w14:textId="77777777" w:rsidR="009F1F68" w:rsidRDefault="00103442">
    <w:pPr>
      <w:pBdr>
        <w:bottom w:val="single" w:sz="6" w:space="4" w:color="1F4E79"/>
      </w:pBdr>
      <w:tabs>
        <w:tab w:val="right" w:pos="9026"/>
      </w:tabs>
    </w:pPr>
    <w:r>
      <w:rPr>
        <w:b/>
        <w:bCs/>
        <w:color w:val="595959"/>
        <w:sz w:val="16"/>
        <w:szCs w:val="16"/>
      </w:rPr>
      <w:t>Oficina Asesora de Planeación y Riesgos Estratégicos (OAPRE)</w:t>
    </w:r>
    <w:r>
      <w:rPr>
        <w:color w:val="595959"/>
        <w:sz w:val="16"/>
        <w:szCs w:val="16"/>
      </w:rPr>
      <w:tab/>
      <w:t>Proceso CASE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F1167E"/>
    <w:multiLevelType w:val="hybridMultilevel"/>
    <w:tmpl w:val="FFFFFFFF"/>
    <w:lvl w:ilvl="0" w:tplc="4F7CC2F4">
      <w:start w:val="1"/>
      <w:numFmt w:val="bullet"/>
      <w:lvlText w:val="●"/>
      <w:lvlJc w:val="left"/>
      <w:pPr>
        <w:ind w:left="720" w:hanging="360"/>
      </w:pPr>
    </w:lvl>
    <w:lvl w:ilvl="1" w:tplc="A536BC4C">
      <w:start w:val="1"/>
      <w:numFmt w:val="bullet"/>
      <w:lvlText w:val="○"/>
      <w:lvlJc w:val="left"/>
      <w:pPr>
        <w:ind w:left="1440" w:hanging="360"/>
      </w:pPr>
    </w:lvl>
    <w:lvl w:ilvl="2" w:tplc="1E562AB6">
      <w:start w:val="1"/>
      <w:numFmt w:val="bullet"/>
      <w:lvlText w:val="■"/>
      <w:lvlJc w:val="left"/>
      <w:pPr>
        <w:ind w:left="2160" w:hanging="360"/>
      </w:pPr>
    </w:lvl>
    <w:lvl w:ilvl="3" w:tplc="EE06EB74">
      <w:start w:val="1"/>
      <w:numFmt w:val="bullet"/>
      <w:lvlText w:val="●"/>
      <w:lvlJc w:val="left"/>
      <w:pPr>
        <w:ind w:left="2880" w:hanging="360"/>
      </w:pPr>
    </w:lvl>
    <w:lvl w:ilvl="4" w:tplc="434E7838">
      <w:start w:val="1"/>
      <w:numFmt w:val="bullet"/>
      <w:lvlText w:val="○"/>
      <w:lvlJc w:val="left"/>
      <w:pPr>
        <w:ind w:left="3600" w:hanging="360"/>
      </w:pPr>
    </w:lvl>
    <w:lvl w:ilvl="5" w:tplc="58D65B7E">
      <w:start w:val="1"/>
      <w:numFmt w:val="bullet"/>
      <w:lvlText w:val="■"/>
      <w:lvlJc w:val="left"/>
      <w:pPr>
        <w:ind w:left="4320" w:hanging="360"/>
      </w:pPr>
    </w:lvl>
    <w:lvl w:ilvl="6" w:tplc="79541E7C">
      <w:start w:val="1"/>
      <w:numFmt w:val="bullet"/>
      <w:lvlText w:val="●"/>
      <w:lvlJc w:val="left"/>
      <w:pPr>
        <w:ind w:left="5040" w:hanging="360"/>
      </w:pPr>
    </w:lvl>
    <w:lvl w:ilvl="7" w:tplc="EA3C7CA6">
      <w:start w:val="1"/>
      <w:numFmt w:val="bullet"/>
      <w:lvlText w:val="●"/>
      <w:lvlJc w:val="left"/>
      <w:pPr>
        <w:ind w:left="5760" w:hanging="360"/>
      </w:pPr>
    </w:lvl>
    <w:lvl w:ilvl="8" w:tplc="8604CAF0">
      <w:start w:val="1"/>
      <w:numFmt w:val="bullet"/>
      <w:lvlText w:val="●"/>
      <w:lvlJc w:val="left"/>
      <w:pPr>
        <w:ind w:left="6480" w:hanging="360"/>
      </w:pPr>
    </w:lvl>
  </w:abstractNum>
  <w:abstractNum w:abstractNumId="1" w15:restartNumberingAfterBreak="0">
    <w:nsid w:val="6D4A6ED2"/>
    <w:multiLevelType w:val="hybridMultilevel"/>
    <w:tmpl w:val="FFFFFFFF"/>
    <w:lvl w:ilvl="0" w:tplc="9A52A8EE">
      <w:start w:val="1"/>
      <w:numFmt w:val="bullet"/>
      <w:lvlText w:val="•"/>
      <w:lvlJc w:val="left"/>
      <w:pPr>
        <w:ind w:left="540" w:hanging="270"/>
      </w:pPr>
    </w:lvl>
    <w:lvl w:ilvl="1" w:tplc="66B46E74">
      <w:numFmt w:val="decimal"/>
      <w:lvlText w:val=""/>
      <w:lvlJc w:val="left"/>
    </w:lvl>
    <w:lvl w:ilvl="2" w:tplc="C52C9D90">
      <w:numFmt w:val="decimal"/>
      <w:lvlText w:val=""/>
      <w:lvlJc w:val="left"/>
    </w:lvl>
    <w:lvl w:ilvl="3" w:tplc="4EDE2164">
      <w:numFmt w:val="decimal"/>
      <w:lvlText w:val=""/>
      <w:lvlJc w:val="left"/>
    </w:lvl>
    <w:lvl w:ilvl="4" w:tplc="42485778">
      <w:numFmt w:val="decimal"/>
      <w:lvlText w:val=""/>
      <w:lvlJc w:val="left"/>
    </w:lvl>
    <w:lvl w:ilvl="5" w:tplc="1E586CC0">
      <w:numFmt w:val="decimal"/>
      <w:lvlText w:val=""/>
      <w:lvlJc w:val="left"/>
    </w:lvl>
    <w:lvl w:ilvl="6" w:tplc="67D8480C">
      <w:numFmt w:val="decimal"/>
      <w:lvlText w:val=""/>
      <w:lvlJc w:val="left"/>
    </w:lvl>
    <w:lvl w:ilvl="7" w:tplc="7C680E6A">
      <w:numFmt w:val="decimal"/>
      <w:lvlText w:val=""/>
      <w:lvlJc w:val="left"/>
    </w:lvl>
    <w:lvl w:ilvl="8" w:tplc="7EDE95E8">
      <w:numFmt w:val="decimal"/>
      <w:lvlText w:val=""/>
      <w:lvlJc w:val="left"/>
    </w:lvl>
  </w:abstractNum>
  <w:num w:numId="1" w16cid:durableId="437724910">
    <w:abstractNumId w:val="0"/>
    <w:lvlOverride w:ilvl="0">
      <w:startOverride w:val="1"/>
    </w:lvlOverride>
  </w:num>
  <w:num w:numId="2" w16cid:durableId="51084869">
    <w:abstractNumId w:val="1"/>
    <w:lvlOverride w:ilvl="0">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web"/>
  <w:zoom w:percent="100"/>
  <w:displayBackgroundShape/>
  <w:proofState w:spelling="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F68"/>
    <w:rsid w:val="000D13A1"/>
    <w:rsid w:val="00103442"/>
    <w:rsid w:val="0049412D"/>
    <w:rsid w:val="005B1757"/>
    <w:rsid w:val="00700600"/>
    <w:rsid w:val="008F6EDB"/>
    <w:rsid w:val="009961C6"/>
    <w:rsid w:val="009F1F68"/>
    <w:rsid w:val="00B5234B"/>
    <w:rsid w:val="00D55184"/>
  </w:rsids>
  <m:mathPr>
    <m:mathFont m:val="Cambria Math"/>
    <m:brkBin m:val="before"/>
    <m:brkBinSub m:val="--"/>
    <m:smallFrac m:val="0"/>
    <m:dispDef/>
    <m:lMargin m:val="0"/>
    <m:rMargin m:val="0"/>
    <m:defJc m:val="centerGroup"/>
    <m:wrapIndent m:val="1440"/>
    <m:intLim m:val="subSup"/>
    <m:naryLim m:val="undOvr"/>
  </m:mathPr>
  <w:themeFontLang w:val="en-CO"/>
  <w:clrSchemeMapping w:bg1="light1" w:t1="dark1" w:bg2="light2" w:t2="dark2" w:accent1="accent1" w:accent2="accent2" w:accent3="accent3" w:accent4="accent4" w:accent5="accent5" w:accent6="accent6" w:hyperlink="hyperlink" w:followedHyperlink="followedHyperlink"/>
  <w:decimalSymbol w:val=","/>
  <w:listSeparator w:val=","/>
  <w14:docId w14:val="19963DB8"/>
  <w15:docId w15:val="{D2959A16-8845-D347-A767-785BA876C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Arial" w:hAnsi="Arial" w:cs="Arial"/>
        <w:color w:val="262626"/>
        <w:sz w:val="22"/>
        <w:szCs w:val="22"/>
        <w:lang w:val="en-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60"/>
      <w:outlineLvl w:val="0"/>
    </w:pPr>
    <w:rPr>
      <w:b/>
      <w:bCs/>
      <w:color w:val="FFFFFF"/>
      <w:sz w:val="24"/>
      <w:szCs w:val="24"/>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550</Words>
  <Characters>3140</Characters>
  <Application>Microsoft Office Word</Application>
  <DocSecurity>0</DocSecurity>
  <Lines>26</Lines>
  <Paragraphs>7</Paragraphs>
  <ScaleCrop>false</ScaleCrop>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Margareth Jaramillo Echeverry</cp:lastModifiedBy>
  <cp:revision>2</cp:revision>
  <dcterms:created xsi:type="dcterms:W3CDTF">2026-06-18T12:51:00Z</dcterms:created>
  <dcterms:modified xsi:type="dcterms:W3CDTF">2026-06-18T12:51:00Z</dcterms:modified>
</cp:coreProperties>
</file>